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A4E" w:rsidRPr="00CF6D62" w:rsidRDefault="002C4A4E" w:rsidP="00F2412F">
      <w:pPr>
        <w:spacing w:line="240" w:lineRule="auto"/>
        <w:jc w:val="right"/>
        <w:rPr>
          <w:rFonts w:ascii="Corbel" w:hAnsi="Corbel"/>
          <w:bCs/>
          <w:i/>
        </w:rPr>
      </w:pPr>
      <w:r w:rsidRPr="00CF6D62">
        <w:rPr>
          <w:rFonts w:ascii="Corbel" w:hAnsi="Corbel"/>
          <w:b/>
          <w:bCs/>
        </w:rPr>
        <w:t xml:space="preserve">   </w:t>
      </w:r>
      <w:r w:rsidRPr="00CF6D62">
        <w:rPr>
          <w:rFonts w:ascii="Corbel" w:hAnsi="Corbel"/>
          <w:b/>
          <w:bCs/>
        </w:rPr>
        <w:tab/>
      </w:r>
      <w:r w:rsidRPr="00CF6D62">
        <w:rPr>
          <w:rFonts w:ascii="Corbel" w:hAnsi="Corbel"/>
          <w:b/>
          <w:bCs/>
        </w:rPr>
        <w:tab/>
      </w:r>
      <w:r w:rsidRPr="00CF6D62">
        <w:rPr>
          <w:rFonts w:ascii="Corbel" w:hAnsi="Corbel"/>
          <w:b/>
          <w:bCs/>
        </w:rPr>
        <w:tab/>
      </w:r>
      <w:r w:rsidRPr="00CF6D62">
        <w:rPr>
          <w:rFonts w:ascii="Corbel" w:hAnsi="Corbel"/>
          <w:b/>
          <w:bCs/>
        </w:rPr>
        <w:tab/>
      </w:r>
      <w:r w:rsidRPr="00CF6D62">
        <w:rPr>
          <w:rFonts w:ascii="Corbel" w:hAnsi="Corbel"/>
          <w:b/>
          <w:bCs/>
        </w:rPr>
        <w:tab/>
      </w:r>
      <w:r w:rsidR="00F2412F" w:rsidRPr="00F2412F">
        <w:rPr>
          <w:rFonts w:ascii="Corbel" w:hAnsi="Corbel"/>
          <w:bCs/>
          <w:i/>
        </w:rPr>
        <w:t>Załącznik nr 1.5 do Zarządzenia Rektora UR nr 61/2025</w:t>
      </w:r>
    </w:p>
    <w:p w:rsidR="002C4A4E" w:rsidRPr="00CF6D62" w:rsidRDefault="002C4A4E" w:rsidP="002C4A4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F6D62">
        <w:rPr>
          <w:rFonts w:ascii="Corbel" w:hAnsi="Corbel"/>
          <w:b/>
          <w:smallCaps/>
          <w:sz w:val="24"/>
          <w:szCs w:val="24"/>
        </w:rPr>
        <w:t>SYLABUS</w:t>
      </w:r>
    </w:p>
    <w:p w:rsidR="002C4A4E" w:rsidRPr="00CF6D62" w:rsidRDefault="002C4A4E" w:rsidP="002C4A4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F6D6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63BAE" w:rsidRPr="00763BAE">
        <w:rPr>
          <w:rFonts w:ascii="Corbel" w:eastAsia="Corbel" w:hAnsi="Corbel" w:cs="Corbel"/>
          <w:i/>
          <w:sz w:val="24"/>
        </w:rPr>
        <w:t>20</w:t>
      </w:r>
      <w:r w:rsidR="00F2412F">
        <w:rPr>
          <w:rFonts w:ascii="Corbel" w:eastAsia="Corbel" w:hAnsi="Corbel" w:cs="Corbel"/>
          <w:i/>
          <w:sz w:val="24"/>
        </w:rPr>
        <w:t>25</w:t>
      </w:r>
      <w:r w:rsidR="00763BAE" w:rsidRPr="00763BAE">
        <w:rPr>
          <w:rFonts w:ascii="Corbel" w:eastAsia="Corbel" w:hAnsi="Corbel" w:cs="Corbel"/>
          <w:i/>
          <w:sz w:val="24"/>
        </w:rPr>
        <w:t>-202</w:t>
      </w:r>
      <w:r w:rsidR="00F2412F">
        <w:rPr>
          <w:rFonts w:ascii="Corbel" w:eastAsia="Corbel" w:hAnsi="Corbel" w:cs="Corbel"/>
          <w:i/>
          <w:sz w:val="24"/>
        </w:rPr>
        <w:t>7</w:t>
      </w:r>
    </w:p>
    <w:p w:rsidR="002C4A4E" w:rsidRPr="00CF6D62" w:rsidRDefault="002C4A4E" w:rsidP="002C4A4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F6D6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CF6D62">
        <w:rPr>
          <w:rFonts w:ascii="Corbel" w:hAnsi="Corbel"/>
          <w:i/>
          <w:sz w:val="20"/>
          <w:szCs w:val="20"/>
        </w:rPr>
        <w:t>(skrajne daty</w:t>
      </w:r>
      <w:r w:rsidRPr="00CF6D62">
        <w:rPr>
          <w:rFonts w:ascii="Corbel" w:hAnsi="Corbel"/>
          <w:sz w:val="20"/>
          <w:szCs w:val="20"/>
        </w:rPr>
        <w:t>)</w:t>
      </w:r>
    </w:p>
    <w:p w:rsidR="002C4A4E" w:rsidRPr="00CF6D62" w:rsidRDefault="002C4A4E" w:rsidP="002C4A4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F6D62">
        <w:rPr>
          <w:rFonts w:ascii="Corbel" w:hAnsi="Corbel"/>
          <w:sz w:val="20"/>
          <w:szCs w:val="20"/>
        </w:rPr>
        <w:tab/>
      </w:r>
      <w:r w:rsidRPr="00CF6D62">
        <w:rPr>
          <w:rFonts w:ascii="Corbel" w:hAnsi="Corbel"/>
          <w:sz w:val="20"/>
          <w:szCs w:val="20"/>
        </w:rPr>
        <w:tab/>
      </w:r>
      <w:r w:rsidRPr="00CF6D62">
        <w:rPr>
          <w:rFonts w:ascii="Corbel" w:hAnsi="Corbel"/>
          <w:sz w:val="20"/>
          <w:szCs w:val="20"/>
        </w:rPr>
        <w:tab/>
      </w:r>
      <w:r w:rsidRPr="00CF6D62">
        <w:rPr>
          <w:rFonts w:ascii="Corbel" w:hAnsi="Corbel"/>
          <w:sz w:val="20"/>
          <w:szCs w:val="20"/>
        </w:rPr>
        <w:tab/>
      </w:r>
      <w:r w:rsidR="006707D6">
        <w:rPr>
          <w:rFonts w:ascii="Corbel" w:hAnsi="Corbel"/>
          <w:sz w:val="20"/>
          <w:szCs w:val="20"/>
        </w:rPr>
        <w:tab/>
      </w:r>
      <w:r w:rsidRPr="00CF6D62">
        <w:rPr>
          <w:rFonts w:ascii="Corbel" w:hAnsi="Corbel"/>
          <w:sz w:val="20"/>
          <w:szCs w:val="20"/>
        </w:rPr>
        <w:t xml:space="preserve">Rok akademicki </w:t>
      </w:r>
      <w:r w:rsidR="001425AF" w:rsidRPr="001425AF">
        <w:rPr>
          <w:rFonts w:ascii="Corbel" w:hAnsi="Corbel"/>
          <w:sz w:val="20"/>
          <w:szCs w:val="20"/>
        </w:rPr>
        <w:t>202</w:t>
      </w:r>
      <w:r w:rsidR="005179CC">
        <w:rPr>
          <w:rFonts w:ascii="Corbel" w:hAnsi="Corbel"/>
          <w:sz w:val="20"/>
          <w:szCs w:val="20"/>
        </w:rPr>
        <w:t>6</w:t>
      </w:r>
      <w:r w:rsidR="001425AF" w:rsidRPr="001425AF">
        <w:rPr>
          <w:rFonts w:ascii="Corbel" w:hAnsi="Corbel"/>
          <w:sz w:val="20"/>
          <w:szCs w:val="20"/>
        </w:rPr>
        <w:t>/202</w:t>
      </w:r>
      <w:r w:rsidR="005179CC">
        <w:rPr>
          <w:rFonts w:ascii="Corbel" w:hAnsi="Corbel"/>
          <w:sz w:val="20"/>
          <w:szCs w:val="20"/>
        </w:rPr>
        <w:t>7</w:t>
      </w:r>
    </w:p>
    <w:p w:rsidR="002C4A4E" w:rsidRPr="00CF6D62" w:rsidRDefault="002C4A4E" w:rsidP="002C4A4E">
      <w:pPr>
        <w:spacing w:after="0" w:line="240" w:lineRule="auto"/>
        <w:rPr>
          <w:rFonts w:ascii="Corbel" w:hAnsi="Corbel"/>
          <w:sz w:val="24"/>
          <w:szCs w:val="24"/>
        </w:rPr>
      </w:pPr>
    </w:p>
    <w:p w:rsidR="002C4A4E" w:rsidRPr="00CF6D62" w:rsidRDefault="002C4A4E" w:rsidP="002C4A4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F6D6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2C4A4E" w:rsidRPr="00CF6D62" w:rsidTr="002C4A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Ochrona informacji niejawnych</w:t>
            </w:r>
          </w:p>
        </w:tc>
      </w:tr>
      <w:tr w:rsidR="002C4A4E" w:rsidRPr="00CF6D62" w:rsidTr="002C4A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6D62">
              <w:rPr>
                <w:rFonts w:ascii="Corbel" w:hAnsi="Corbel"/>
                <w:b w:val="0"/>
                <w:sz w:val="24"/>
                <w:szCs w:val="24"/>
              </w:rPr>
              <w:t>MK38</w:t>
            </w:r>
          </w:p>
        </w:tc>
      </w:tr>
      <w:tr w:rsidR="002C4A4E" w:rsidRPr="00CF6D62" w:rsidTr="002C4A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F241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2C4A4E" w:rsidRPr="00CF6D62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2C4A4E" w:rsidRPr="00CF6D62" w:rsidTr="002C4A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CA5C8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5C89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F2412F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2C4A4E" w:rsidRPr="00CF6D62" w:rsidTr="002C4A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6D62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2C4A4E" w:rsidRPr="00CF6D62" w:rsidTr="002C4A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6D62"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2C4A4E" w:rsidRPr="00CF6D62" w:rsidTr="002C4A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6D6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C4A4E" w:rsidRPr="00CF6D62" w:rsidTr="002C4A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6D62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C4A4E" w:rsidRPr="00CF6D62" w:rsidTr="002C4A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6D62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2C4A4E" w:rsidRPr="00CF6D62" w:rsidTr="002C4A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6D62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2C4A4E" w:rsidRPr="00CF6D62" w:rsidTr="002C4A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6D6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C4A4E" w:rsidRPr="00CF6D62" w:rsidTr="002C4A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6D62">
              <w:rPr>
                <w:rFonts w:ascii="Corbel" w:hAnsi="Corbel"/>
                <w:b w:val="0"/>
                <w:sz w:val="24"/>
                <w:szCs w:val="24"/>
              </w:rPr>
              <w:t>Dr Robert Zapart</w:t>
            </w:r>
          </w:p>
        </w:tc>
      </w:tr>
      <w:tr w:rsidR="002C4A4E" w:rsidRPr="00CF6D62" w:rsidTr="002C4A4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6D62">
              <w:rPr>
                <w:rFonts w:ascii="Corbel" w:hAnsi="Corbel"/>
                <w:b w:val="0"/>
                <w:sz w:val="24"/>
                <w:szCs w:val="24"/>
              </w:rPr>
              <w:t>Dr Robert Zapart</w:t>
            </w:r>
          </w:p>
        </w:tc>
      </w:tr>
    </w:tbl>
    <w:p w:rsidR="002C4A4E" w:rsidRPr="00CF6D62" w:rsidRDefault="002C4A4E" w:rsidP="002C4A4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F6D62">
        <w:rPr>
          <w:rFonts w:ascii="Corbel" w:hAnsi="Corbel"/>
          <w:sz w:val="24"/>
          <w:szCs w:val="24"/>
        </w:rPr>
        <w:t xml:space="preserve">* </w:t>
      </w:r>
      <w:r w:rsidRPr="00CF6D62">
        <w:rPr>
          <w:rFonts w:ascii="Corbel" w:hAnsi="Corbel"/>
          <w:i/>
          <w:sz w:val="24"/>
          <w:szCs w:val="24"/>
        </w:rPr>
        <w:t>-</w:t>
      </w:r>
      <w:r w:rsidRPr="00CF6D62">
        <w:rPr>
          <w:rFonts w:ascii="Corbel" w:hAnsi="Corbel"/>
          <w:b w:val="0"/>
          <w:i/>
          <w:sz w:val="24"/>
          <w:szCs w:val="24"/>
        </w:rPr>
        <w:t>opcjonalni</w:t>
      </w:r>
      <w:r w:rsidRPr="00CF6D62">
        <w:rPr>
          <w:rFonts w:ascii="Corbel" w:hAnsi="Corbel"/>
          <w:b w:val="0"/>
          <w:sz w:val="24"/>
          <w:szCs w:val="24"/>
        </w:rPr>
        <w:t>e,</w:t>
      </w:r>
      <w:r w:rsidRPr="00CF6D62">
        <w:rPr>
          <w:rFonts w:ascii="Corbel" w:hAnsi="Corbel"/>
          <w:i/>
          <w:sz w:val="24"/>
          <w:szCs w:val="24"/>
        </w:rPr>
        <w:t xml:space="preserve"> </w:t>
      </w:r>
      <w:r w:rsidRPr="00CF6D6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2C4A4E" w:rsidRPr="00CF6D62" w:rsidRDefault="002C4A4E" w:rsidP="002C4A4E">
      <w:pPr>
        <w:pStyle w:val="Podpunkty"/>
        <w:ind w:left="284"/>
        <w:rPr>
          <w:rFonts w:ascii="Corbel" w:hAnsi="Corbel"/>
          <w:sz w:val="24"/>
          <w:szCs w:val="24"/>
        </w:rPr>
      </w:pPr>
      <w:r w:rsidRPr="00CF6D6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2C4A4E" w:rsidRPr="00CF6D62" w:rsidRDefault="002C4A4E" w:rsidP="002C4A4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887"/>
        <w:gridCol w:w="752"/>
        <w:gridCol w:w="851"/>
        <w:gridCol w:w="774"/>
        <w:gridCol w:w="805"/>
        <w:gridCol w:w="714"/>
        <w:gridCol w:w="924"/>
        <w:gridCol w:w="1142"/>
        <w:gridCol w:w="1391"/>
      </w:tblGrid>
      <w:tr w:rsidR="002C4A4E" w:rsidRPr="00CF6D62" w:rsidTr="002C4A4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6D62">
              <w:rPr>
                <w:rFonts w:ascii="Corbel" w:hAnsi="Corbel"/>
                <w:szCs w:val="24"/>
              </w:rPr>
              <w:t>Semestr</w:t>
            </w:r>
          </w:p>
          <w:p w:rsidR="002C4A4E" w:rsidRPr="00CF6D62" w:rsidRDefault="002C4A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6D6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6D6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6D6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6D6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6D6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6D6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6D6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6D6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6D6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F6D6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C4A4E" w:rsidRPr="00CF6D62" w:rsidTr="002C4A4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2C4A4E" w:rsidRPr="00CF6D62" w:rsidRDefault="002C4A4E" w:rsidP="002C4A4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2C4A4E" w:rsidRPr="00CF6D62" w:rsidRDefault="002C4A4E" w:rsidP="002C4A4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CF6D62">
        <w:rPr>
          <w:rFonts w:ascii="Corbel" w:hAnsi="Corbel"/>
          <w:szCs w:val="24"/>
        </w:rPr>
        <w:t>1.2.</w:t>
      </w:r>
      <w:r w:rsidRPr="00CF6D62">
        <w:rPr>
          <w:rFonts w:ascii="Corbel" w:hAnsi="Corbel"/>
          <w:szCs w:val="24"/>
        </w:rPr>
        <w:tab/>
        <w:t xml:space="preserve">Sposób realizacji zajęć  </w:t>
      </w:r>
    </w:p>
    <w:p w:rsidR="00CF6D62" w:rsidRPr="00CF6D62" w:rsidRDefault="00CF6D62" w:rsidP="002C4A4E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</w:p>
    <w:p w:rsidR="002C4A4E" w:rsidRPr="00CF6D62" w:rsidRDefault="00CF6D62" w:rsidP="002C4A4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CF6D62">
        <w:rPr>
          <w:rFonts w:ascii="Corbel" w:eastAsia="MS Gothic" w:hAnsi="Corbel" w:cs="MS Gothic"/>
          <w:b w:val="0"/>
          <w:szCs w:val="24"/>
        </w:rPr>
        <w:t xml:space="preserve">  </w:t>
      </w:r>
      <w:r w:rsidR="002C4A4E" w:rsidRPr="00CF6D62">
        <w:rPr>
          <w:rFonts w:ascii="Corbel" w:eastAsia="MS Gothic" w:hAnsi="Corbel" w:cs="MS Gothic"/>
          <w:b w:val="0"/>
          <w:szCs w:val="24"/>
        </w:rPr>
        <w:t>x</w:t>
      </w:r>
      <w:r w:rsidR="002C4A4E" w:rsidRPr="00CF6D62">
        <w:rPr>
          <w:rFonts w:ascii="Corbel" w:hAnsi="Corbel"/>
          <w:b w:val="0"/>
          <w:szCs w:val="24"/>
        </w:rPr>
        <w:t xml:space="preserve"> zajęcia w formie tradycyjnej </w:t>
      </w:r>
    </w:p>
    <w:p w:rsidR="002C4A4E" w:rsidRPr="00CF6D62" w:rsidRDefault="002C4A4E" w:rsidP="002C4A4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CF6D62">
        <w:rPr>
          <w:rFonts w:ascii="Segoe UI Symbol" w:eastAsia="MS Gothic" w:hAnsi="Segoe UI Symbol" w:cs="Segoe UI Symbol"/>
          <w:b w:val="0"/>
          <w:szCs w:val="24"/>
        </w:rPr>
        <w:t>☐</w:t>
      </w:r>
      <w:r w:rsidRPr="00CF6D62"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2C4A4E" w:rsidRPr="00CF6D62" w:rsidRDefault="002C4A4E" w:rsidP="002C4A4E">
      <w:pPr>
        <w:pStyle w:val="Punktygwne"/>
        <w:spacing w:before="0" w:after="0"/>
        <w:rPr>
          <w:rFonts w:ascii="Corbel" w:hAnsi="Corbel"/>
          <w:szCs w:val="24"/>
        </w:rPr>
      </w:pPr>
    </w:p>
    <w:p w:rsidR="002C4A4E" w:rsidRPr="00CF6D62" w:rsidRDefault="002C4A4E" w:rsidP="002C4A4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CF6D62">
        <w:rPr>
          <w:rFonts w:ascii="Corbel" w:hAnsi="Corbel"/>
          <w:szCs w:val="24"/>
        </w:rPr>
        <w:t xml:space="preserve">1.3 </w:t>
      </w:r>
      <w:r w:rsidRPr="00CF6D62">
        <w:rPr>
          <w:rFonts w:ascii="Corbel" w:hAnsi="Corbel"/>
          <w:szCs w:val="24"/>
        </w:rPr>
        <w:tab/>
        <w:t xml:space="preserve">Forma zaliczenia przedmiotu  (z toku) </w:t>
      </w:r>
      <w:r w:rsidRPr="00CF6D62">
        <w:rPr>
          <w:rFonts w:ascii="Corbel" w:hAnsi="Corbel"/>
          <w:b w:val="0"/>
          <w:szCs w:val="24"/>
        </w:rPr>
        <w:t>(egzamin, zaliczenie z oceną, zaliczenie bez oceny)</w:t>
      </w:r>
    </w:p>
    <w:p w:rsidR="002C4A4E" w:rsidRPr="00CF6D62" w:rsidRDefault="002C4A4E" w:rsidP="002C4A4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C4A4E" w:rsidRPr="00CF6D62" w:rsidRDefault="002C4A4E" w:rsidP="002C4A4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F6D62">
        <w:rPr>
          <w:rFonts w:ascii="Corbel" w:hAnsi="Corbel"/>
          <w:b w:val="0"/>
          <w:szCs w:val="24"/>
        </w:rPr>
        <w:t>Zaliczenie z oceną</w:t>
      </w:r>
    </w:p>
    <w:p w:rsidR="002C4A4E" w:rsidRPr="00CF6D62" w:rsidRDefault="002C4A4E" w:rsidP="002C4A4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C4A4E" w:rsidRPr="00CF6D62" w:rsidRDefault="002C4A4E" w:rsidP="002C4A4E">
      <w:pPr>
        <w:pStyle w:val="Punktygwne"/>
        <w:spacing w:before="0" w:after="0"/>
        <w:rPr>
          <w:rFonts w:ascii="Corbel" w:hAnsi="Corbel"/>
          <w:szCs w:val="24"/>
        </w:rPr>
      </w:pPr>
      <w:r w:rsidRPr="00CF6D62">
        <w:rPr>
          <w:rFonts w:ascii="Corbel" w:hAnsi="Corbel"/>
          <w:szCs w:val="24"/>
        </w:rPr>
        <w:t xml:space="preserve">2.Wymagania wstępne </w:t>
      </w:r>
    </w:p>
    <w:p w:rsidR="00CF6D62" w:rsidRPr="00CF6D62" w:rsidRDefault="00CF6D62" w:rsidP="002C4A4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C4A4E" w:rsidRPr="00CF6D62" w:rsidTr="002C4A4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4E" w:rsidRPr="00CF6D62" w:rsidRDefault="002C4A4E">
            <w:pPr>
              <w:pStyle w:val="Punktygwne"/>
              <w:spacing w:before="40" w:after="40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  <w:b w:val="0"/>
                <w:color w:val="000000"/>
              </w:rPr>
              <w:t xml:space="preserve">Podstawy wiedzy na temat systemu prawnego RP </w:t>
            </w:r>
          </w:p>
        </w:tc>
      </w:tr>
    </w:tbl>
    <w:p w:rsidR="00CF6D62" w:rsidRDefault="00CF6D62" w:rsidP="002C4A4E">
      <w:pPr>
        <w:pStyle w:val="Punktygwne"/>
        <w:spacing w:before="0" w:after="0"/>
        <w:rPr>
          <w:rFonts w:ascii="Corbel" w:hAnsi="Corbel"/>
          <w:szCs w:val="24"/>
        </w:rPr>
      </w:pPr>
    </w:p>
    <w:p w:rsidR="002C4A4E" w:rsidRPr="00CF6D62" w:rsidRDefault="00CF6D62" w:rsidP="002C4A4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2C4A4E" w:rsidRPr="00CF6D62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2C4A4E" w:rsidRPr="00CF6D62" w:rsidRDefault="002C4A4E" w:rsidP="002C4A4E">
      <w:pPr>
        <w:pStyle w:val="Punktygwne"/>
        <w:spacing w:before="0" w:after="0"/>
        <w:rPr>
          <w:rFonts w:ascii="Corbel" w:hAnsi="Corbel"/>
          <w:szCs w:val="24"/>
        </w:rPr>
      </w:pPr>
    </w:p>
    <w:p w:rsidR="002C4A4E" w:rsidRPr="00CF6D62" w:rsidRDefault="002C4A4E" w:rsidP="002C4A4E">
      <w:pPr>
        <w:pStyle w:val="Podpunkty"/>
        <w:rPr>
          <w:rFonts w:ascii="Corbel" w:hAnsi="Corbel"/>
          <w:sz w:val="24"/>
          <w:szCs w:val="24"/>
        </w:rPr>
      </w:pPr>
      <w:r w:rsidRPr="00CF6D62">
        <w:rPr>
          <w:rFonts w:ascii="Corbel" w:hAnsi="Corbel"/>
          <w:sz w:val="24"/>
          <w:szCs w:val="24"/>
        </w:rPr>
        <w:t>3.1 Cele przedmiotu</w:t>
      </w:r>
    </w:p>
    <w:p w:rsidR="002C4A4E" w:rsidRPr="00CF6D62" w:rsidRDefault="002C4A4E" w:rsidP="002C4A4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2C4A4E" w:rsidRPr="00CF6D62" w:rsidTr="002C4A4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6D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autoSpaceDE w:val="0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</w:rPr>
              <w:t xml:space="preserve">Zapoznanie studentów z regulacjami dotyczącymi konstytucyjnych ograniczeń jawności i </w:t>
            </w:r>
            <w:r w:rsidRPr="00CF6D62">
              <w:rPr>
                <w:rFonts w:ascii="Corbel" w:hAnsi="Corbel" w:cs="Corbel"/>
                <w:lang w:eastAsia="pl-PL"/>
              </w:rPr>
              <w:t>ochroną  informacji niejawnych w Polsce</w:t>
            </w:r>
          </w:p>
        </w:tc>
      </w:tr>
      <w:tr w:rsidR="002C4A4E" w:rsidRPr="00CF6D62" w:rsidTr="002C4A4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CF6D62">
              <w:rPr>
                <w:rFonts w:ascii="Corbel" w:eastAsia="Corbel" w:hAnsi="Corbel" w:cs="Corbel"/>
                <w:b w:val="0"/>
                <w:szCs w:val="24"/>
              </w:rPr>
              <w:t xml:space="preserve"> </w:t>
            </w:r>
            <w:r w:rsidRPr="00CF6D62">
              <w:rPr>
                <w:rFonts w:ascii="Corbel" w:hAnsi="Corbel" w:cs="Corbel"/>
                <w:b w:val="0"/>
                <w:color w:val="000000"/>
                <w:szCs w:val="22"/>
              </w:rPr>
              <w:t xml:space="preserve">Uzyskanie przez studenta wiedzy na temat przetwarzania oraz dostępu do informacji niejawnych </w:t>
            </w:r>
          </w:p>
        </w:tc>
      </w:tr>
    </w:tbl>
    <w:p w:rsidR="002C4A4E" w:rsidRPr="00CF6D62" w:rsidRDefault="002C4A4E" w:rsidP="002C4A4E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2C4A4E" w:rsidRPr="00CF6D62" w:rsidRDefault="002C4A4E" w:rsidP="002C4A4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F6D62">
        <w:rPr>
          <w:rFonts w:ascii="Corbel" w:hAnsi="Corbel"/>
          <w:b/>
          <w:sz w:val="24"/>
          <w:szCs w:val="24"/>
        </w:rPr>
        <w:t>3.2 Efekty uczenia się dla przedmiotu</w:t>
      </w:r>
      <w:r w:rsidRPr="00CF6D62">
        <w:rPr>
          <w:rFonts w:ascii="Corbel" w:hAnsi="Corbel"/>
          <w:sz w:val="24"/>
          <w:szCs w:val="24"/>
        </w:rPr>
        <w:t xml:space="preserve"> </w:t>
      </w:r>
    </w:p>
    <w:p w:rsidR="002C4A4E" w:rsidRPr="00CF6D62" w:rsidRDefault="002C4A4E" w:rsidP="002C4A4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3"/>
        <w:gridCol w:w="5698"/>
        <w:gridCol w:w="1849"/>
      </w:tblGrid>
      <w:tr w:rsidR="002C4A4E" w:rsidRPr="00CF6D62" w:rsidTr="002C4A4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szCs w:val="24"/>
              </w:rPr>
              <w:t>EK</w:t>
            </w:r>
            <w:r w:rsidRPr="00CF6D62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CF6D62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2C4A4E" w:rsidRPr="00CF6D62" w:rsidTr="002C4A4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b w:val="0"/>
                <w:szCs w:val="24"/>
              </w:rPr>
              <w:t>EK</w:t>
            </w:r>
            <w:r w:rsidRPr="00CF6D62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</w:rPr>
              <w:t>Zna i rozumie regulacje prawne dotyczące bezpieczeństwa wewnętrznego, szczególnie w zakresie ochrony informacji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jc w:val="center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</w:rPr>
              <w:t>K_W01</w:t>
            </w:r>
          </w:p>
        </w:tc>
      </w:tr>
      <w:tr w:rsidR="002C4A4E" w:rsidRPr="00CF6D62" w:rsidTr="002C4A4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</w:rPr>
              <w:t>Zna i rozumie regulacje prawne odnoszące się do postępowania administracyjnego oraz unormowań dotyczących bezpieczeństwa państwa i informacji niejawnych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jc w:val="center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  <w:szCs w:val="20"/>
              </w:rPr>
              <w:t>K_W06</w:t>
            </w:r>
          </w:p>
        </w:tc>
      </w:tr>
      <w:tr w:rsidR="002C4A4E" w:rsidRPr="00CF6D62" w:rsidTr="002C4A4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  <w:szCs w:val="20"/>
              </w:rPr>
              <w:t>Zna i rozumie metody i narzędzia  pozyskiwania i ochrony informacji w różnych obszarach bezpieczeństwa państwa i życia społecznego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jc w:val="center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  <w:szCs w:val="20"/>
              </w:rPr>
              <w:t>K_W08</w:t>
            </w:r>
          </w:p>
        </w:tc>
      </w:tr>
      <w:tr w:rsidR="002C4A4E" w:rsidRPr="00CF6D62" w:rsidTr="002C4A4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  <w:color w:val="000000"/>
              </w:rPr>
              <w:t>Potrafi wykorzystywać zdobytą wiedzę dla zapewnienia bezpieczeństwa wewnętrznego, krytycznie analizuje skuteczność zastosowanej wiedzy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jc w:val="center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</w:rPr>
              <w:t>K_U07</w:t>
            </w:r>
          </w:p>
        </w:tc>
      </w:tr>
    </w:tbl>
    <w:p w:rsidR="002C4A4E" w:rsidRPr="00CF6D62" w:rsidRDefault="002C4A4E" w:rsidP="002C4A4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C4A4E" w:rsidRPr="00CF6D62" w:rsidRDefault="002C4A4E" w:rsidP="002C4A4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F6D62">
        <w:rPr>
          <w:rFonts w:ascii="Corbel" w:hAnsi="Corbel"/>
          <w:b/>
          <w:sz w:val="24"/>
          <w:szCs w:val="24"/>
        </w:rPr>
        <w:t xml:space="preserve">3.3 Treści programowe </w:t>
      </w:r>
      <w:r w:rsidRPr="00CF6D62">
        <w:rPr>
          <w:rFonts w:ascii="Corbel" w:hAnsi="Corbel"/>
          <w:sz w:val="24"/>
          <w:szCs w:val="24"/>
        </w:rPr>
        <w:t xml:space="preserve">  </w:t>
      </w:r>
    </w:p>
    <w:p w:rsidR="002C4A4E" w:rsidRPr="00CF6D62" w:rsidRDefault="002C4A4E" w:rsidP="002C4A4E">
      <w:pPr>
        <w:spacing w:after="0" w:line="240" w:lineRule="auto"/>
        <w:rPr>
          <w:rFonts w:ascii="Corbel" w:hAnsi="Corbel"/>
          <w:sz w:val="24"/>
          <w:szCs w:val="24"/>
        </w:rPr>
      </w:pPr>
    </w:p>
    <w:p w:rsidR="002C4A4E" w:rsidRPr="00CF6D62" w:rsidRDefault="002C4A4E" w:rsidP="002C4A4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F6D6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2C4A4E" w:rsidRPr="00CF6D62" w:rsidRDefault="002C4A4E" w:rsidP="002C4A4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C4A4E" w:rsidRPr="00CF6D62" w:rsidTr="002C4A4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 w:rsidP="00CA5C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4A4E" w:rsidRPr="00CF6D62" w:rsidTr="002C4A4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 w:rsidP="00CF6D62">
            <w:pPr>
              <w:pStyle w:val="Tekstpodstawowy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eastAsia="Arial" w:hAnsi="Corbel"/>
                <w:sz w:val="24"/>
                <w:szCs w:val="24"/>
              </w:rPr>
              <w:t>Zagrożenia dla bezpieczeństwa państwa z perspektywy zasady jawności</w:t>
            </w:r>
          </w:p>
        </w:tc>
      </w:tr>
      <w:tr w:rsidR="002C4A4E" w:rsidRPr="00CF6D62" w:rsidTr="002C4A4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 w:rsidP="00CF6D62">
            <w:pPr>
              <w:pStyle w:val="Tekstpodstawowy"/>
              <w:spacing w:after="0" w:line="100" w:lineRule="atLeast"/>
              <w:contextualSpacing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eastAsia="Arial" w:hAnsi="Corbel"/>
                <w:sz w:val="24"/>
                <w:szCs w:val="24"/>
              </w:rPr>
              <w:t xml:space="preserve">Informacja prawnie chroniona, zagrożenia dla bezpieczeństwa informacji. </w:t>
            </w:r>
          </w:p>
        </w:tc>
      </w:tr>
      <w:tr w:rsidR="002C4A4E" w:rsidRPr="00CF6D62" w:rsidTr="002C4A4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 w:rsidP="00CF6D62">
            <w:pPr>
              <w:autoSpaceDE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  <w:lang w:eastAsia="pl-PL"/>
              </w:rPr>
              <w:t>Podmioty państwowe w systemie bezpieczeństwa informacji</w:t>
            </w:r>
          </w:p>
        </w:tc>
      </w:tr>
      <w:tr w:rsidR="002C4A4E" w:rsidRPr="00CF6D62" w:rsidTr="002C4A4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 w:rsidP="00CF6D62">
            <w:pPr>
              <w:autoSpaceDE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eastAsia="Arial" w:hAnsi="Corbel"/>
                <w:sz w:val="24"/>
                <w:szCs w:val="24"/>
                <w:lang w:eastAsia="pl-PL"/>
              </w:rPr>
              <w:t xml:space="preserve">Rola i znaczenie informacji niejawnych w polskim systemie prawnym. </w:t>
            </w:r>
            <w:r w:rsidRPr="00CF6D62">
              <w:rPr>
                <w:rFonts w:ascii="Corbel" w:hAnsi="Corbel"/>
                <w:sz w:val="24"/>
                <w:szCs w:val="24"/>
                <w:lang w:eastAsia="pl-PL"/>
              </w:rPr>
              <w:t xml:space="preserve"> Klauzule ochrony</w:t>
            </w:r>
          </w:p>
        </w:tc>
      </w:tr>
      <w:tr w:rsidR="002C4A4E" w:rsidRPr="00CF6D62" w:rsidTr="002C4A4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 w:rsidP="00CF6D62">
            <w:pPr>
              <w:autoSpaceDE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  <w:lang w:eastAsia="pl-PL"/>
              </w:rPr>
              <w:t>Bezpieczeństwo osobowe</w:t>
            </w:r>
          </w:p>
        </w:tc>
      </w:tr>
      <w:tr w:rsidR="002C4A4E" w:rsidRPr="00CF6D62" w:rsidTr="002C4A4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 w:rsidP="00CF6D6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Środki ochrony informacji niejawnych</w:t>
            </w:r>
          </w:p>
        </w:tc>
      </w:tr>
      <w:tr w:rsidR="002C4A4E" w:rsidRPr="00CF6D62" w:rsidTr="002C4A4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 w:rsidP="00CF6D6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eastAsia="Times New Roman" w:hAnsi="Corbel"/>
                <w:sz w:val="24"/>
                <w:szCs w:val="24"/>
                <w:lang w:eastAsia="pl-PL"/>
              </w:rPr>
              <w:t>Szacowanie ryzyka</w:t>
            </w:r>
          </w:p>
        </w:tc>
      </w:tr>
      <w:tr w:rsidR="002C4A4E" w:rsidRPr="00CF6D62" w:rsidTr="002C4A4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 w:rsidP="00CF6D62">
            <w:pPr>
              <w:autoSpaceDE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eastAsia="Times New Roman" w:hAnsi="Corbel"/>
                <w:sz w:val="24"/>
                <w:szCs w:val="24"/>
                <w:lang w:eastAsia="pl-PL"/>
              </w:rPr>
              <w:t>Kancelaria tajna</w:t>
            </w:r>
          </w:p>
        </w:tc>
      </w:tr>
      <w:tr w:rsidR="002C4A4E" w:rsidRPr="00CF6D62" w:rsidTr="002C4A4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 w:rsidP="00CF6D6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eastAsia="Times New Roman" w:hAnsi="Corbel"/>
                <w:sz w:val="24"/>
                <w:szCs w:val="24"/>
                <w:lang w:eastAsia="pl-PL"/>
              </w:rPr>
              <w:t>Bezpieczeństwo przemysłowe</w:t>
            </w:r>
          </w:p>
        </w:tc>
      </w:tr>
      <w:tr w:rsidR="002C4A4E" w:rsidRPr="00CF6D62" w:rsidTr="002C4A4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 w:rsidP="00CF6D62">
            <w:pPr>
              <w:autoSpaceDE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Standardy ochrony informacji w NATO i UE</w:t>
            </w:r>
          </w:p>
        </w:tc>
      </w:tr>
      <w:tr w:rsidR="002C4A4E" w:rsidRPr="00CF6D62" w:rsidTr="002C4A4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 w:rsidP="00CF6D62">
            <w:pPr>
              <w:autoSpaceDE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eastAsia="ArialUnicodeMS-WinCharSetFFFF-H" w:hAnsi="Corbel"/>
                <w:color w:val="000000"/>
                <w:sz w:val="24"/>
                <w:szCs w:val="24"/>
              </w:rPr>
              <w:t xml:space="preserve">Odpowiedzialność za przestępstwa przeciwko ochronie informacji </w:t>
            </w:r>
          </w:p>
        </w:tc>
      </w:tr>
      <w:tr w:rsidR="002C4A4E" w:rsidRPr="00CF6D62" w:rsidTr="002C4A4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 w:rsidP="00CF6D62">
            <w:pPr>
              <w:autoSpaceDE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eastAsia="Times New Roman" w:hAnsi="Corbel"/>
                <w:sz w:val="24"/>
                <w:szCs w:val="24"/>
                <w:lang w:eastAsia="pl-PL"/>
              </w:rPr>
              <w:t>Nowe zagrożenia i wyzwania związane z ochroną informacji</w:t>
            </w:r>
          </w:p>
        </w:tc>
      </w:tr>
    </w:tbl>
    <w:p w:rsidR="002C4A4E" w:rsidRPr="00CF6D62" w:rsidRDefault="002C4A4E" w:rsidP="002C4A4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C4A4E" w:rsidRPr="00CF6D62" w:rsidRDefault="002C4A4E" w:rsidP="00776AB2">
      <w:pPr>
        <w:pStyle w:val="Punktygwne"/>
        <w:spacing w:before="0" w:after="0"/>
        <w:ind w:left="426"/>
        <w:jc w:val="both"/>
        <w:rPr>
          <w:rFonts w:ascii="Corbel" w:hAnsi="Corbel"/>
          <w:b w:val="0"/>
          <w:szCs w:val="24"/>
        </w:rPr>
      </w:pPr>
      <w:r w:rsidRPr="00CF6D62">
        <w:rPr>
          <w:rFonts w:ascii="Corbel" w:hAnsi="Corbel"/>
          <w:szCs w:val="24"/>
        </w:rPr>
        <w:t xml:space="preserve">3.4 </w:t>
      </w:r>
      <w:r w:rsidR="00776AB2" w:rsidRPr="00CF6D62">
        <w:rPr>
          <w:rFonts w:ascii="Corbel" w:hAnsi="Corbel"/>
          <w:szCs w:val="24"/>
        </w:rPr>
        <w:t xml:space="preserve"> </w:t>
      </w:r>
      <w:r w:rsidRPr="00CF6D62">
        <w:rPr>
          <w:rFonts w:ascii="Corbel" w:hAnsi="Corbel"/>
          <w:szCs w:val="24"/>
        </w:rPr>
        <w:t>Metody dydaktyczne</w:t>
      </w:r>
      <w:r w:rsidRPr="00CF6D62">
        <w:rPr>
          <w:rFonts w:ascii="Corbel" w:hAnsi="Corbel"/>
          <w:b w:val="0"/>
          <w:szCs w:val="24"/>
        </w:rPr>
        <w:t xml:space="preserve"> </w:t>
      </w:r>
    </w:p>
    <w:p w:rsidR="002C4A4E" w:rsidRPr="00CF6D62" w:rsidRDefault="002C4A4E" w:rsidP="002C4A4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C4A4E" w:rsidRPr="00CF6D62" w:rsidRDefault="002C4A4E" w:rsidP="002C4A4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CF6D62">
        <w:rPr>
          <w:rFonts w:ascii="Corbel" w:hAnsi="Corbel" w:cs="Corbel"/>
          <w:b w:val="0"/>
        </w:rPr>
        <w:t>ćwiczenia z analizą tekstów i dyskusją, projekt badawczy</w:t>
      </w:r>
    </w:p>
    <w:p w:rsidR="002C4A4E" w:rsidRPr="00CF6D62" w:rsidRDefault="002C4A4E" w:rsidP="002C4A4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2C4A4E" w:rsidRPr="00CF6D62" w:rsidRDefault="002C4A4E" w:rsidP="002C4A4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CF6D62">
        <w:rPr>
          <w:rFonts w:ascii="Corbel" w:hAnsi="Corbel"/>
          <w:szCs w:val="24"/>
        </w:rPr>
        <w:t xml:space="preserve">4. METODY I KRYTERIA OCENY </w:t>
      </w:r>
    </w:p>
    <w:p w:rsidR="002C4A4E" w:rsidRPr="00CF6D62" w:rsidRDefault="002C4A4E" w:rsidP="002C4A4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2C4A4E" w:rsidRPr="00CF6D62" w:rsidRDefault="002C4A4E" w:rsidP="002C4A4E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F6D62">
        <w:rPr>
          <w:rFonts w:ascii="Corbel" w:hAnsi="Corbel"/>
          <w:szCs w:val="24"/>
        </w:rPr>
        <w:t>4.1 Sposoby weryfikacji efektów uczenia się</w:t>
      </w:r>
    </w:p>
    <w:p w:rsidR="002C4A4E" w:rsidRPr="00CF6D62" w:rsidRDefault="002C4A4E" w:rsidP="002C4A4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7"/>
        <w:gridCol w:w="5191"/>
        <w:gridCol w:w="2092"/>
      </w:tblGrid>
      <w:tr w:rsidR="002C4A4E" w:rsidRPr="00CF6D62" w:rsidTr="002C4A4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CF6D62"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:rsidR="002C4A4E" w:rsidRPr="00CF6D62" w:rsidRDefault="002C4A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2C4A4E" w:rsidRPr="00CF6D62" w:rsidRDefault="002C4A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2C4A4E" w:rsidRPr="00CF6D62" w:rsidTr="002C4A4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  <w:b w:val="0"/>
              </w:rPr>
              <w:t xml:space="preserve">Obserwacja studenta podczas zajęć, </w:t>
            </w:r>
            <w:r w:rsidRPr="00CF6D62">
              <w:rPr>
                <w:rFonts w:ascii="Corbel" w:eastAsia="Times New Roman" w:hAnsi="Corbel" w:cs="Corbel"/>
                <w:b w:val="0"/>
              </w:rPr>
              <w:t>prawidłowość realizacji projektu,</w:t>
            </w:r>
            <w:r w:rsidRPr="00CF6D62">
              <w:rPr>
                <w:rFonts w:ascii="Corbel" w:hAnsi="Corbel" w:cs="Corbel"/>
                <w:b w:val="0"/>
              </w:rPr>
              <w:t xml:space="preserve">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  <w:b w:val="0"/>
              </w:rPr>
              <w:t>ćw</w:t>
            </w:r>
          </w:p>
        </w:tc>
      </w:tr>
      <w:tr w:rsidR="002C4A4E" w:rsidRPr="00CF6D62" w:rsidTr="002C4A4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</w:rPr>
            </w:pPr>
            <w:r w:rsidRPr="00CF6D62">
              <w:rPr>
                <w:rFonts w:ascii="Corbel" w:eastAsia="Times New Roman" w:hAnsi="Corbel" w:cs="Corbel"/>
                <w:b w:val="0"/>
              </w:rPr>
              <w:t xml:space="preserve">Obserwacja studenta podczas zajęć,  prawidłowość realizacji projektu, kolokwium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  <w:b w:val="0"/>
              </w:rPr>
              <w:t>ćw</w:t>
            </w:r>
          </w:p>
        </w:tc>
      </w:tr>
      <w:tr w:rsidR="002C4A4E" w:rsidRPr="00CF6D62" w:rsidTr="002C4A4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</w:rPr>
            </w:pPr>
            <w:r w:rsidRPr="00CF6D62">
              <w:rPr>
                <w:rFonts w:ascii="Corbel" w:eastAsia="Times New Roman" w:hAnsi="Corbel" w:cs="Corbel"/>
                <w:b w:val="0"/>
              </w:rPr>
              <w:t xml:space="preserve">Obserwacja studenta podczas zajęć,  prawidłowość realizacji projektu, kolokwium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  <w:b w:val="0"/>
              </w:rPr>
              <w:t>ćw</w:t>
            </w:r>
          </w:p>
        </w:tc>
      </w:tr>
      <w:tr w:rsidR="002C4A4E" w:rsidRPr="00CF6D62" w:rsidTr="002C4A4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</w:rPr>
            </w:pPr>
            <w:r w:rsidRPr="00CF6D62">
              <w:rPr>
                <w:rFonts w:ascii="Corbel" w:eastAsia="Times New Roman" w:hAnsi="Corbel" w:cs="Corbel"/>
                <w:b w:val="0"/>
              </w:rPr>
              <w:t xml:space="preserve">Obserwacja studenta podczas zajęć,  prawidłowość realizacji projektu, kolokwium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  <w:b w:val="0"/>
              </w:rPr>
              <w:t>ćw</w:t>
            </w:r>
          </w:p>
        </w:tc>
      </w:tr>
    </w:tbl>
    <w:p w:rsidR="002C4A4E" w:rsidRPr="00CF6D62" w:rsidRDefault="002C4A4E" w:rsidP="002C4A4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C4A4E" w:rsidRPr="00CF6D62" w:rsidRDefault="002C4A4E" w:rsidP="002C4A4E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F6D62">
        <w:rPr>
          <w:rFonts w:ascii="Corbel" w:hAnsi="Corbel"/>
          <w:szCs w:val="24"/>
        </w:rPr>
        <w:t xml:space="preserve">4.2 Warunki zaliczenia przedmiotu (kryteria oceniania) </w:t>
      </w:r>
    </w:p>
    <w:p w:rsidR="002C4A4E" w:rsidRPr="00CF6D62" w:rsidRDefault="002C4A4E" w:rsidP="002C4A4E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2C4A4E" w:rsidRPr="00CF6D62" w:rsidTr="002C4A4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4E" w:rsidRPr="00CF6D62" w:rsidRDefault="002C4A4E" w:rsidP="00CF6D62">
            <w:pPr>
              <w:snapToGrid w:val="0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</w:rPr>
              <w:t>Obecność na zajęciach, projekt zaliczeniowy, kolokwium -zaliczenie od min. 60% zdobytych punktów. Kryteria oceny sprawozdania z projektu: kompletność odpowiedzi, użyta terminologia, aktualny stan prawny</w:t>
            </w:r>
          </w:p>
        </w:tc>
      </w:tr>
    </w:tbl>
    <w:p w:rsidR="002C4A4E" w:rsidRPr="00CF6D62" w:rsidRDefault="002C4A4E" w:rsidP="002C4A4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C4A4E" w:rsidRPr="00CF6D62" w:rsidRDefault="002C4A4E" w:rsidP="002C4A4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F6D6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2C4A4E" w:rsidRPr="00CF6D62" w:rsidRDefault="002C4A4E" w:rsidP="002C4A4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2"/>
        <w:gridCol w:w="4448"/>
      </w:tblGrid>
      <w:tr w:rsidR="002C4A4E" w:rsidRPr="00CF6D62" w:rsidTr="002C4A4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6D6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A4E" w:rsidRPr="00CF6D62" w:rsidRDefault="002C4A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6D6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C4A4E" w:rsidRPr="00CF6D62" w:rsidTr="002C4A4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2C4A4E" w:rsidRPr="00CF6D62" w:rsidTr="002C4A4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2C4A4E" w:rsidRPr="00CF6D62" w:rsidRDefault="002C4A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2C4A4E" w:rsidRPr="00CF6D62" w:rsidTr="002C4A4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2C4A4E" w:rsidRPr="00CF6D62" w:rsidRDefault="002C4A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2C4A4E" w:rsidRPr="00CF6D62" w:rsidTr="002C4A4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2C4A4E" w:rsidRPr="00CF6D62" w:rsidTr="002C4A4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F6D6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Pr="00CF6D62" w:rsidRDefault="002C4A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6D6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2C4A4E" w:rsidRPr="00CF6D62" w:rsidRDefault="002C4A4E" w:rsidP="002C4A4E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CF6D62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2C4A4E" w:rsidRPr="00CF6D62" w:rsidRDefault="002C4A4E" w:rsidP="002C4A4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C4A4E" w:rsidRPr="00CF6D62" w:rsidRDefault="002C4A4E" w:rsidP="002C4A4E">
      <w:pPr>
        <w:pStyle w:val="Punktygwne"/>
        <w:spacing w:before="0" w:after="0"/>
        <w:rPr>
          <w:rFonts w:ascii="Corbel" w:hAnsi="Corbel"/>
          <w:szCs w:val="24"/>
        </w:rPr>
      </w:pPr>
      <w:r w:rsidRPr="00CF6D62">
        <w:rPr>
          <w:rFonts w:ascii="Corbel" w:hAnsi="Corbel"/>
          <w:szCs w:val="24"/>
        </w:rPr>
        <w:lastRenderedPageBreak/>
        <w:t>6. PRAKTYKI ZAWODOWE W RAMACH PRZEDMIOTU</w:t>
      </w:r>
    </w:p>
    <w:p w:rsidR="002C4A4E" w:rsidRPr="00CF6D62" w:rsidRDefault="002C4A4E" w:rsidP="002C4A4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CF6D62" w:rsidRPr="00CF6D62" w:rsidTr="002C4A4E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D62" w:rsidRPr="00CF6D62" w:rsidRDefault="00CF6D62" w:rsidP="00CF6D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D62" w:rsidRPr="00CF6D62" w:rsidRDefault="00CF6D62" w:rsidP="00CF6D62">
            <w:pPr>
              <w:rPr>
                <w:b/>
                <w:color w:val="000000"/>
                <w:szCs w:val="24"/>
              </w:rPr>
            </w:pPr>
            <w:r w:rsidRPr="00CF6D62">
              <w:t>Nie dotyczy</w:t>
            </w:r>
          </w:p>
        </w:tc>
      </w:tr>
      <w:tr w:rsidR="00CF6D62" w:rsidRPr="00CF6D62" w:rsidTr="002C4A4E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D62" w:rsidRPr="00CF6D62" w:rsidRDefault="00CF6D62" w:rsidP="00CF6D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F6D62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D62" w:rsidRPr="00CF6D62" w:rsidRDefault="00CF6D62" w:rsidP="00CF6D62">
            <w:pPr>
              <w:rPr>
                <w:b/>
                <w:szCs w:val="24"/>
              </w:rPr>
            </w:pPr>
            <w:r w:rsidRPr="00CF6D62">
              <w:t>Nie dotyczy</w:t>
            </w:r>
          </w:p>
        </w:tc>
      </w:tr>
    </w:tbl>
    <w:p w:rsidR="002C4A4E" w:rsidRPr="00CF6D62" w:rsidRDefault="002C4A4E" w:rsidP="002C4A4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2C4A4E" w:rsidRPr="00CF6D62" w:rsidRDefault="002C4A4E" w:rsidP="002C4A4E">
      <w:pPr>
        <w:pStyle w:val="Punktygwne"/>
        <w:spacing w:before="0" w:after="0"/>
        <w:rPr>
          <w:rFonts w:ascii="Corbel" w:hAnsi="Corbel"/>
          <w:szCs w:val="24"/>
        </w:rPr>
      </w:pPr>
      <w:r w:rsidRPr="00CF6D62">
        <w:rPr>
          <w:rFonts w:ascii="Corbel" w:hAnsi="Corbel"/>
          <w:szCs w:val="24"/>
        </w:rPr>
        <w:t xml:space="preserve">7. LITERATURA </w:t>
      </w:r>
    </w:p>
    <w:p w:rsidR="002C4A4E" w:rsidRPr="00CF6D62" w:rsidRDefault="002C4A4E" w:rsidP="002C4A4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2C4A4E" w:rsidRPr="00CF6D62" w:rsidTr="002C4A4E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A4E" w:rsidRDefault="002C4A4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A5C89">
              <w:rPr>
                <w:rFonts w:ascii="Corbel" w:hAnsi="Corbel"/>
                <w:szCs w:val="24"/>
              </w:rPr>
              <w:t>Literatura podstawowa:</w:t>
            </w:r>
          </w:p>
          <w:p w:rsidR="00CA5C89" w:rsidRPr="00CA5C89" w:rsidRDefault="00CA5C8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:rsidR="002C4A4E" w:rsidRPr="00CF6D62" w:rsidRDefault="002C4A4E">
            <w:pPr>
              <w:pStyle w:val="Punktygwne"/>
              <w:spacing w:before="0" w:after="0"/>
              <w:contextualSpacing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  <w:b w:val="0"/>
                <w:i/>
                <w:iCs/>
              </w:rPr>
              <w:t>Prawne aspekty informacji chronionych</w:t>
            </w:r>
            <w:r w:rsidRPr="00CF6D62">
              <w:rPr>
                <w:rFonts w:ascii="Corbel" w:hAnsi="Corbel" w:cs="Corbel"/>
                <w:b w:val="0"/>
              </w:rPr>
              <w:t>, red. S. Topolewski, Siedlce 2020.</w:t>
            </w:r>
          </w:p>
          <w:p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  <w:b w:val="0"/>
                <w:i/>
                <w:iCs/>
                <w:color w:val="000000"/>
              </w:rPr>
              <w:t>Informacje prawnie chronione – wybrane zagadnienia</w:t>
            </w:r>
            <w:r w:rsidRPr="00CF6D62">
              <w:rPr>
                <w:rFonts w:ascii="Corbel" w:hAnsi="Corbel" w:cs="Corbel"/>
                <w:b w:val="0"/>
                <w:color w:val="000000"/>
              </w:rPr>
              <w:t>, red. S. Topolewski, Siedlce 2019.</w:t>
            </w:r>
          </w:p>
          <w:p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  <w:b w:val="0"/>
                <w:color w:val="000000"/>
              </w:rPr>
              <w:t>I. Stankowska,</w:t>
            </w:r>
            <w:r w:rsidRPr="00CF6D62">
              <w:rPr>
                <w:rFonts w:ascii="Corbel" w:hAnsi="Corbel" w:cs="Corbel"/>
                <w:b w:val="0"/>
                <w:i/>
                <w:iCs/>
                <w:color w:val="000000"/>
              </w:rPr>
              <w:t xml:space="preserve"> Ochrona informacji niejawnych, komentarz do ustawy,</w:t>
            </w:r>
            <w:r w:rsidRPr="00CF6D62">
              <w:rPr>
                <w:rFonts w:ascii="Corbel" w:hAnsi="Corbel" w:cs="Corbel"/>
                <w:b w:val="0"/>
                <w:color w:val="000000"/>
              </w:rPr>
              <w:t xml:space="preserve"> Warszawa 2011.</w:t>
            </w:r>
          </w:p>
          <w:p w:rsidR="002C4A4E" w:rsidRPr="00CF6D62" w:rsidRDefault="002C4A4E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CF6D62">
              <w:rPr>
                <w:rFonts w:ascii="Corbel" w:eastAsia="Times New Roman" w:hAnsi="Corbel" w:cs="Corbel"/>
                <w:b w:val="0"/>
                <w:color w:val="000000"/>
              </w:rPr>
              <w:t xml:space="preserve">S. Hoc, T. Szewc, </w:t>
            </w:r>
            <w:r w:rsidRPr="00CF6D62">
              <w:rPr>
                <w:rFonts w:ascii="Corbel" w:eastAsia="Times New Roman" w:hAnsi="Corbel" w:cs="Corbel"/>
                <w:b w:val="0"/>
                <w:i/>
                <w:iCs/>
                <w:color w:val="000000"/>
              </w:rPr>
              <w:t>Ochrona danych osobowych i informacji niejawnych</w:t>
            </w:r>
            <w:r w:rsidRPr="00CF6D62">
              <w:rPr>
                <w:rFonts w:ascii="Corbel" w:eastAsia="Times New Roman" w:hAnsi="Corbel" w:cs="Corbel"/>
                <w:b w:val="0"/>
                <w:color w:val="000000"/>
              </w:rPr>
              <w:t xml:space="preserve">, Warszawa 2014. </w:t>
            </w:r>
          </w:p>
          <w:p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  <w:b w:val="0"/>
                <w:color w:val="000000"/>
              </w:rPr>
              <w:t xml:space="preserve">M. Anzel, </w:t>
            </w:r>
            <w:r w:rsidRPr="00CF6D62">
              <w:rPr>
                <w:rFonts w:ascii="Corbel" w:hAnsi="Corbel" w:cs="Corbel"/>
                <w:b w:val="0"/>
                <w:i/>
                <w:iCs/>
                <w:color w:val="000000"/>
              </w:rPr>
              <w:t>Szacowanie ryzyka oraz zarządzanie ryzykiem w świetle nowej ustawy z dnia 5 sierpnia 2010 r. o ochronie informacji niejawnych: przykłady metody analizy ryzyka opartej o gotowe macierze</w:t>
            </w:r>
            <w:r w:rsidRPr="00CF6D62">
              <w:rPr>
                <w:rFonts w:ascii="Corbel" w:hAnsi="Corbel" w:cs="Corbel"/>
                <w:b w:val="0"/>
                <w:color w:val="000000"/>
              </w:rPr>
              <w:t>, Poznań 2011.</w:t>
            </w:r>
          </w:p>
          <w:p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</w:rPr>
            </w:pPr>
            <w:r w:rsidRPr="00CF6D62">
              <w:rPr>
                <w:rFonts w:ascii="Corbel" w:eastAsia="Times New Roman" w:hAnsi="Corbel" w:cs="Corbel"/>
                <w:b w:val="0"/>
                <w:color w:val="000000"/>
              </w:rPr>
              <w:t>Ustawa o ochronie informacji niejawnych (Dz. U. 2010 nr 182, poz. 1228). Rozporządzenia wykonawcze do ustaw, strony internetowe ABW</w:t>
            </w:r>
          </w:p>
          <w:p w:rsidR="002C4A4E" w:rsidRPr="00CF6D62" w:rsidRDefault="002C4A4E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2C4A4E" w:rsidRPr="00CF6D62" w:rsidTr="002C4A4E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A4E" w:rsidRDefault="002C4A4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A5C89">
              <w:rPr>
                <w:rFonts w:ascii="Corbel" w:hAnsi="Corbel"/>
                <w:szCs w:val="24"/>
              </w:rPr>
              <w:t xml:space="preserve">Literatura uzupełniająca: </w:t>
            </w:r>
          </w:p>
          <w:p w:rsidR="00CA5C89" w:rsidRPr="00CA5C89" w:rsidRDefault="00CA5C8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:rsidR="002C4A4E" w:rsidRPr="00CF6D62" w:rsidRDefault="002C4A4E" w:rsidP="00CA5C89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CF6D62">
              <w:rPr>
                <w:rFonts w:ascii="Corbel" w:eastAsia="Times New Roman" w:hAnsi="Corbel" w:cs="Corbel"/>
                <w:b w:val="0"/>
                <w:i/>
                <w:iCs/>
                <w:color w:val="000000"/>
              </w:rPr>
              <w:t>Ochrona danych osobowych i informacji niejawnych z uwzględnieniem ogólnego rozporządzenia unijneg</w:t>
            </w:r>
            <w:r w:rsidRPr="00CF6D62">
              <w:rPr>
                <w:rFonts w:ascii="Corbel" w:eastAsia="Times New Roman" w:hAnsi="Corbel" w:cs="Corbel"/>
                <w:b w:val="0"/>
                <w:color w:val="000000"/>
              </w:rPr>
              <w:t xml:space="preserve">o, red. D. Wocióra, Warszawa 2016. </w:t>
            </w:r>
          </w:p>
          <w:p w:rsidR="002C4A4E" w:rsidRPr="00CF6D62" w:rsidRDefault="002C4A4E" w:rsidP="00CA5C89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CF6D62">
              <w:rPr>
                <w:rFonts w:ascii="Corbel" w:eastAsia="Times New Roman" w:hAnsi="Corbel" w:cs="Corbel"/>
                <w:b w:val="0"/>
                <w:color w:val="000000"/>
              </w:rPr>
              <w:t>S. Zalewski,</w:t>
            </w:r>
            <w:r w:rsidRPr="00CF6D62">
              <w:rPr>
                <w:rFonts w:ascii="Corbel" w:eastAsia="Times New Roman" w:hAnsi="Corbel" w:cs="Corbel"/>
                <w:b w:val="0"/>
                <w:i/>
                <w:iCs/>
                <w:color w:val="000000"/>
              </w:rPr>
              <w:t xml:space="preserve"> Ochrona informacji niejawnych. Wybrane zagadnienia bezpieczeństwa osobowego, </w:t>
            </w:r>
            <w:r w:rsidRPr="00CF6D62">
              <w:rPr>
                <w:rFonts w:ascii="Corbel" w:eastAsia="Times New Roman" w:hAnsi="Corbel" w:cs="Corbel"/>
                <w:b w:val="0"/>
                <w:color w:val="000000"/>
              </w:rPr>
              <w:t>Płock 2014.</w:t>
            </w:r>
            <w:r w:rsidRPr="00CF6D62">
              <w:rPr>
                <w:rFonts w:ascii="Corbel" w:hAnsi="Corbel" w:cs="Corbel"/>
                <w:b w:val="0"/>
                <w:i/>
                <w:color w:val="000000"/>
              </w:rPr>
              <w:t xml:space="preserve"> </w:t>
            </w:r>
            <w:r w:rsidRPr="00CF6D62">
              <w:rPr>
                <w:rFonts w:ascii="Corbel" w:eastAsia="Times New Roman" w:hAnsi="Corbel" w:cs="Corbel"/>
                <w:b w:val="0"/>
                <w:color w:val="333333"/>
              </w:rPr>
              <w:t xml:space="preserve"> </w:t>
            </w:r>
          </w:p>
          <w:p w:rsidR="002C4A4E" w:rsidRPr="00CF6D62" w:rsidRDefault="002C4A4E" w:rsidP="00CA5C89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CF6D62">
              <w:rPr>
                <w:rFonts w:ascii="Corbel" w:eastAsia="Times New Roman" w:hAnsi="Corbel" w:cs="Corbel"/>
                <w:b w:val="0"/>
                <w:i/>
                <w:iCs/>
                <w:color w:val="000000"/>
              </w:rPr>
              <w:t>Ochrona informacji niejawnych, biznesowych i danych osobowych</w:t>
            </w:r>
            <w:r w:rsidRPr="00CF6D62">
              <w:rPr>
                <w:rFonts w:ascii="Corbel" w:eastAsia="Times New Roman" w:hAnsi="Corbel" w:cs="Corbel"/>
                <w:b w:val="0"/>
                <w:color w:val="000000"/>
              </w:rPr>
              <w:t>, materiały X kongresu KSOIN, red. red. J. Sobczak, M. Gajos-Gr</w:t>
            </w:r>
            <w:r w:rsidRPr="00CF6D62">
              <w:rPr>
                <w:rFonts w:ascii="Corbel" w:eastAsia="Times New Roman" w:hAnsi="Corbel"/>
                <w:b w:val="0"/>
                <w:color w:val="000000"/>
              </w:rPr>
              <w:t>ž</w:t>
            </w:r>
            <w:r w:rsidRPr="00CF6D62">
              <w:rPr>
                <w:rFonts w:ascii="Corbel" w:eastAsia="Times New Roman" w:hAnsi="Corbel" w:cs="Corbel"/>
                <w:b w:val="0"/>
                <w:color w:val="000000"/>
              </w:rPr>
              <w:t xml:space="preserve">etić, Katowice 2014. </w:t>
            </w:r>
          </w:p>
          <w:p w:rsidR="002C4A4E" w:rsidRPr="00CF6D62" w:rsidRDefault="002C4A4E" w:rsidP="00CA5C89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CF6D62">
              <w:rPr>
                <w:rFonts w:ascii="Corbel" w:eastAsia="Times New Roman" w:hAnsi="Corbel" w:cs="Corbel"/>
                <w:b w:val="0"/>
                <w:i/>
                <w:iCs/>
                <w:color w:val="333333"/>
              </w:rPr>
              <w:t xml:space="preserve">J. Łuczak, M. Tyburski, Systemowe zarządzanie bezpieczeństwem informacji ISO/IEC 27001, Poznań 2010. </w:t>
            </w:r>
          </w:p>
          <w:p w:rsidR="002C4A4E" w:rsidRPr="00CF6D62" w:rsidRDefault="002C4A4E" w:rsidP="00CA5C89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  <w:b w:val="0"/>
              </w:rPr>
              <w:t xml:space="preserve">Bezpieczeństwo informacji, red. I. P. Kurytnik, Warszawa 2012. </w:t>
            </w:r>
          </w:p>
          <w:p w:rsidR="002C4A4E" w:rsidRPr="00CF6D62" w:rsidRDefault="002C4A4E" w:rsidP="00CA5C89">
            <w:pPr>
              <w:spacing w:after="0"/>
              <w:jc w:val="both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</w:rPr>
              <w:t>Ochrona informacji niejawnych w XXI wieku, red. S. Topolewski, Siedlce 2016.</w:t>
            </w:r>
          </w:p>
          <w:p w:rsidR="002C4A4E" w:rsidRPr="00CF6D62" w:rsidRDefault="002C4A4E" w:rsidP="00CA5C89">
            <w:pPr>
              <w:spacing w:after="0"/>
              <w:contextualSpacing/>
              <w:jc w:val="both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</w:rPr>
              <w:t>Topolewski S., Ochrona informacji niejawnych w Siłach Zbrojnych Rzeczypospolitej Polskiej, Siedlce 2017.</w:t>
            </w:r>
          </w:p>
          <w:p w:rsidR="002C4A4E" w:rsidRPr="00CF6D62" w:rsidRDefault="002C4A4E" w:rsidP="00CA5C89">
            <w:pPr>
              <w:spacing w:after="0"/>
              <w:contextualSpacing/>
              <w:jc w:val="both"/>
              <w:rPr>
                <w:rFonts w:ascii="Corbel" w:hAnsi="Corbel"/>
              </w:rPr>
            </w:pPr>
            <w:r w:rsidRPr="00CF6D62">
              <w:rPr>
                <w:rFonts w:ascii="Corbel" w:hAnsi="Corbel" w:cs="Corbel"/>
                <w:lang w:eastAsia="pl-PL"/>
              </w:rPr>
              <w:t>Thiem P., Instrukcja postępowania z materiałami niejawnymi z komentarzem, Gdańsk 2012.</w:t>
            </w:r>
          </w:p>
          <w:p w:rsidR="002C4A4E" w:rsidRPr="00CF6D62" w:rsidRDefault="002C4A4E" w:rsidP="00CA5C8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color w:val="000000"/>
                <w:szCs w:val="24"/>
              </w:rPr>
            </w:pPr>
            <w:r w:rsidRPr="00CF6D62">
              <w:rPr>
                <w:rFonts w:ascii="Corbel" w:hAnsi="Corbel" w:cs="Corbel"/>
                <w:b w:val="0"/>
              </w:rPr>
              <w:t>Wpływ ochrony informacji niejawnych i danych osobowych na bezpieczeństwo państwa, red. S. Topolewski, P. Żarkowski, Siedlce 2016.</w:t>
            </w:r>
          </w:p>
        </w:tc>
      </w:tr>
    </w:tbl>
    <w:p w:rsidR="002C4A4E" w:rsidRPr="00CF6D62" w:rsidRDefault="002C4A4E" w:rsidP="002C4A4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2C4A4E" w:rsidRPr="00CF6D62" w:rsidRDefault="002C4A4E" w:rsidP="002C4A4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2C4A4E" w:rsidRPr="00CF6D62" w:rsidRDefault="002C4A4E" w:rsidP="002C4A4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F6D62">
        <w:rPr>
          <w:rFonts w:ascii="Corbel" w:hAnsi="Corbel"/>
          <w:b w:val="0"/>
          <w:szCs w:val="24"/>
        </w:rPr>
        <w:t>Akceptacja Kierownika Jednostki lub osoby upoważnionej</w:t>
      </w:r>
    </w:p>
    <w:p w:rsidR="00280096" w:rsidRPr="00CF6D62" w:rsidRDefault="00280096">
      <w:pPr>
        <w:rPr>
          <w:rFonts w:ascii="Corbel" w:hAnsi="Corbel"/>
        </w:rPr>
      </w:pPr>
    </w:p>
    <w:sectPr w:rsidR="00280096" w:rsidRPr="00CF6D62" w:rsidSect="00CF6D62">
      <w:pgSz w:w="11906" w:h="16838"/>
      <w:pgMar w:top="56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842" w:rsidRDefault="00890842" w:rsidP="002C4A4E">
      <w:pPr>
        <w:spacing w:after="0" w:line="240" w:lineRule="auto"/>
      </w:pPr>
      <w:r>
        <w:separator/>
      </w:r>
    </w:p>
  </w:endnote>
  <w:endnote w:type="continuationSeparator" w:id="0">
    <w:p w:rsidR="00890842" w:rsidRDefault="00890842" w:rsidP="002C4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UnicodeMS-WinCharSetFFFF-H">
    <w:charset w:val="EE"/>
    <w:family w:val="swiss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842" w:rsidRDefault="00890842" w:rsidP="002C4A4E">
      <w:pPr>
        <w:spacing w:after="0" w:line="240" w:lineRule="auto"/>
      </w:pPr>
      <w:r>
        <w:separator/>
      </w:r>
    </w:p>
  </w:footnote>
  <w:footnote w:type="continuationSeparator" w:id="0">
    <w:p w:rsidR="00890842" w:rsidRDefault="00890842" w:rsidP="002C4A4E">
      <w:pPr>
        <w:spacing w:after="0" w:line="240" w:lineRule="auto"/>
      </w:pPr>
      <w:r>
        <w:continuationSeparator/>
      </w:r>
    </w:p>
  </w:footnote>
  <w:footnote w:id="1">
    <w:p w:rsidR="002C4A4E" w:rsidRDefault="002C4A4E" w:rsidP="002C4A4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0096"/>
    <w:rsid w:val="0009468F"/>
    <w:rsid w:val="001425AF"/>
    <w:rsid w:val="00204D65"/>
    <w:rsid w:val="00280096"/>
    <w:rsid w:val="002A7832"/>
    <w:rsid w:val="002C4A4E"/>
    <w:rsid w:val="003F5304"/>
    <w:rsid w:val="00430261"/>
    <w:rsid w:val="005179CC"/>
    <w:rsid w:val="00643126"/>
    <w:rsid w:val="006707D6"/>
    <w:rsid w:val="00763BAE"/>
    <w:rsid w:val="00776AB2"/>
    <w:rsid w:val="007C3688"/>
    <w:rsid w:val="00801BD5"/>
    <w:rsid w:val="00837B98"/>
    <w:rsid w:val="00890842"/>
    <w:rsid w:val="009F08C5"/>
    <w:rsid w:val="00A506DA"/>
    <w:rsid w:val="00B14AD2"/>
    <w:rsid w:val="00BC052D"/>
    <w:rsid w:val="00BE2071"/>
    <w:rsid w:val="00C02CDF"/>
    <w:rsid w:val="00CA5C89"/>
    <w:rsid w:val="00CF6D62"/>
    <w:rsid w:val="00E22AB5"/>
    <w:rsid w:val="00F24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4A4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4A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4A4E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2C4A4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2C4A4E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2C4A4E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C4A4E"/>
    <w:pPr>
      <w:ind w:left="720"/>
      <w:contextualSpacing/>
    </w:pPr>
  </w:style>
  <w:style w:type="paragraph" w:customStyle="1" w:styleId="Punktygwne">
    <w:name w:val="Punkty główne"/>
    <w:basedOn w:val="Normalny"/>
    <w:rsid w:val="002C4A4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C4A4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C4A4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C4A4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C4A4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C4A4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C4A4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C4A4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941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Krystian</cp:lastModifiedBy>
  <cp:revision>13</cp:revision>
  <dcterms:created xsi:type="dcterms:W3CDTF">2020-12-04T06:57:00Z</dcterms:created>
  <dcterms:modified xsi:type="dcterms:W3CDTF">2025-11-21T09:39:00Z</dcterms:modified>
</cp:coreProperties>
</file>